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widowControl/>
      </w:pPr>
      <w:r>
        <w:t>KNOWLEDGE TOWNS  /  ADVISORY BRIEF  /  ISSUE 01</w:t>
      </w:r>
    </w:p>
    <w:p>
      <w:pPr>
        <w:pStyle w:val="Title"/>
      </w:pPr>
      <w:r>
        <w:t>Universities are becoming regional development platforms</w:t>
      </w:r>
    </w:p>
    <w:p>
      <w:pPr>
        <w:pStyle w:val="Subtitle"/>
      </w:pPr>
      <w:r>
        <w:t>Seven developments in housing, innovation, place and capital</w:t>
      </w:r>
    </w:p>
    <w:p>
      <w:pPr>
        <w:widowControl/>
      </w:pPr>
      <w:r>
        <w:t>Dominic Endicott | Knowledge Towns</w:t>
        <w:br/>
        <w:t>October 7, 2026</w:t>
      </w:r>
    </w:p>
    <w:p>
      <w:pPr>
        <w:widowControl/>
      </w:pPr>
      <w:r>
        <w:t>A campus project can do much more than add floor space. It can help a university renew its estate, give a city new housing, connect employers to research, and make a region more attractive to people and investment. The important question is how those benefits are organized, financed and delivered.</w:t>
      </w:r>
    </w:p>
    <w:p>
      <w:pPr>
        <w:widowControl/>
      </w:pPr>
      <w:r>
        <w:t>The cases below reveal several ways to act. Salem State connects campus consolidation with housing and reinvestment. Lowell is testing private appetite for a district around an existing venue. Carnegie Mellon is establishing a new academic location with extraordinary philanthropic support. Coral Gables and the University of Miami have negotiated a longer planning horizon. Bentonville is building an institution into a new urban neighborhood. Tennessee is connecting specialized research locations. Manchester has brought long-term capital into student accommodation.</w:t>
      </w:r>
    </w:p>
    <w:p>
      <w:pPr>
        <w:widowControl/>
      </w:pPr>
      <w:r>
        <w:t>Our assessment is that the transferable opportunity lies in joining three decisions usually made separately: what an institution does well, what a place needs, and what a credible delivery partner can sustain. These projects are at different stages. An RFQ, a gift announcement, a planning agreement, financial close and occupied buildings are different kinds of evidence.</w:t>
      </w:r>
    </w:p>
    <w:p>
      <w:pPr>
        <w:pStyle w:val="Heading1"/>
      </w:pPr>
      <w:r>
        <w:t>1. UMass Lowell: use an existing destination to organize a district</w:t>
      </w:r>
    </w:p>
    <w:p>
      <w:pPr>
        <w:keepNext/>
        <w:widowControl/>
      </w:pPr>
      <w:r>
        <w:t>Milestone: developer procurement. Reported response deadline: October 16, 2026.</w:t>
      </w:r>
    </w:p>
    <w:p>
      <w:pPr>
        <w:widowControl/>
      </w:pPr>
      <w:r>
        <w:t>UMass Lowell’s current P3 opportunity focuses on its East Campus around the Tsongas Center. A September 28 account published by project development adviser Brailsford &amp; Dunlavey describes a design, build, finance and operate structure for a second ice facility, community ice use, a hotel and dedicated event space. It also identifies additional parcels for housing and complementary uses. The adviser reports an October 16 RFQ deadline. Those adjacent opportunities should not be confused with an awarded housing program or the scope of the initial ice-and-hotel procurement. [1]</w:t>
      </w:r>
    </w:p>
    <w:p>
      <w:pPr>
        <w:pStyle w:val="Heading2"/>
      </w:pPr>
      <w:r>
        <w:t>KT implications</w:t>
      </w:r>
    </w:p>
    <w:p>
      <w:pPr>
        <w:widowControl/>
      </w:pPr>
      <w:r>
        <w:t>An arena supplies a reason to visit; a district must supply reasons to stay, return and use the area between events. The strategic task is to connect university demand, visitor spending, public access and daily neighborhood activity. A hotel might serve conferences and visiting partners as well as sport. Public space and useful services could make the same area valuable to residents. Each proposed use still needs a credible customer and an operator.</w:t>
      </w:r>
    </w:p>
    <w:p>
      <w:pPr>
        <w:widowControl/>
      </w:pPr>
      <w:r>
        <w:t>For university leaders, this suggests a practical sequence: identify the anchor demand already present, test complementary uses, and then decide which elements belong in one procurement. For cities, the question is whether routes, public spaces and business opportunities connect the project to the surrounding economy. For delivery partners, the opportunity is to show how individual components work economically while contributing to a coherent place.</w:t>
      </w:r>
    </w:p>
    <w:p>
      <w:pPr>
        <w:pStyle w:val="Heading1"/>
      </w:pPr>
      <w:r>
        <w:t>2. Salem State: a smaller campus can support a larger civic contribution</w:t>
      </w:r>
    </w:p>
    <w:p>
      <w:pPr>
        <w:keepNext/>
        <w:widowControl/>
      </w:pPr>
      <w:r>
        <w:t>Milestone: first-phase groundbreaking announced October 2; later housing phases remain ahead.</w:t>
      </w:r>
    </w:p>
    <w:p>
      <w:pPr>
        <w:widowControl/>
      </w:pPr>
      <w:r>
        <w:t>Massachusetts announced a groundbreaking for redevelopment of Salem State’s former South Campus on October 2. The overall program is expected to create 473 rental homes across two phases on approximately 23 acres of surplus state land. DCAMM identifies AvalonBay and WinnDevelopment as the development team and records the first-phase closing with AvalonBay on August 13, 2026. Sale proceeds are intended to support Salem State’s campus unification and modernization through SSU BOLD. The housing total describes the full program, rather than homes already delivered. [3–5]</w:t>
      </w:r>
    </w:p>
    <w:p>
      <w:pPr>
        <w:pStyle w:val="Heading2"/>
      </w:pPr>
      <w:r>
        <w:t>KT implications</w:t>
      </w:r>
    </w:p>
    <w:p>
      <w:pPr>
        <w:widowControl/>
      </w:pPr>
      <w:r>
        <w:t>This case broadens the meaning of growth. Institutional success does not require retaining every building or expanding every campus boundary. A university may improve its academic environment while releasing land for another urgent local use. The connection between the two matters: a housing transaction becomes part of an institutional strategy when its proceeds, transition costs and operational consequences are tied to an explicit academic plan.</w:t>
      </w:r>
    </w:p>
    <w:p>
      <w:pPr>
        <w:widowControl/>
      </w:pPr>
      <w:r>
        <w:t>For New England institutions, the useful starting point is an assessment of the estate that distinguishes mission-critical space, adaptable buildings, avoidable liabilities and land with credible external demand. That assessment should sit alongside teaching patterns, student services and future enrollment scenarios. A parcel is not genuinely surplus simply because its current utilization is low; a university also needs to understand its future option value.</w:t>
      </w:r>
    </w:p>
    <w:p>
      <w:pPr>
        <w:pStyle w:val="Heading1"/>
      </w:pPr>
      <w:r>
        <w:t>3. Carnegie Mellon Miami: philanthropy can establish a new academic geography</w:t>
      </w:r>
    </w:p>
    <w:p>
      <w:pPr>
        <w:keepNext/>
        <w:widowControl/>
      </w:pPr>
      <w:r>
        <w:t>Milestone: September 30 announcement; construction and enrollment remain planned.</w:t>
      </w:r>
    </w:p>
    <w:p>
      <w:pPr>
        <w:widowControl/>
      </w:pPr>
      <w:r>
        <w:t>Carnegie Mellon announced a $3 billion gift from Kenneth C. Griffin on September 30. The allocation is consequential: $1 billion supports Pittsburgh and $2 billion supports a new Miami campus. CMU describes a 35-acre Wynwood campus ultimately serving more than 3,500 students, with construction slated for 2027. Subject to necessary approvals, graduate enrollment is planned for 2028 and the first undergraduate cohort for 2032. Its proposed academic model organizes work around societal challenges, including health, national security, energy and industrial transformation. [6]</w:t>
      </w:r>
    </w:p>
    <w:p>
      <w:pPr>
        <w:pStyle w:val="Heading2"/>
      </w:pPr>
      <w:r>
        <w:t>KT implications</w:t>
      </w:r>
    </w:p>
    <w:p>
      <w:pPr>
        <w:widowControl/>
      </w:pPr>
      <w:r>
        <w:t>The strategic proposition combines an established university’s capabilities with a new location and a major source of patient capital. It is a strong example of the Permeable University idea: an institution can extend its reach by creating a different environment for learning, research and external collaboration. The relevance extends beyond the buildings to the academic model that will occupy them.</w:t>
      </w:r>
    </w:p>
    <w:p>
      <w:pPr>
        <w:widowControl/>
      </w:pPr>
      <w:r>
        <w:t>For civic leaders, the transferable question is which capability would materially strengthen the local economy. It might be a full campus, but it could also be a specialist graduate program, an applied research center or an employer-supported teaching site. A clear account of local demand should precede the search for an academic brand. For universities, the new location should make a distinctive contribution that also strengthens the original institution.</w:t>
      </w:r>
    </w:p>
    <w:p>
      <w:pPr>
        <w:pStyle w:val="Heading1"/>
      </w:pPr>
      <w:r>
        <w:t>4. University of Miami and Coral Gables: negotiate the framework for growth</w:t>
      </w:r>
    </w:p>
    <w:p>
      <w:pPr>
        <w:keepNext/>
        <w:widowControl/>
      </w:pPr>
      <w:r>
        <w:t>Milestone: a development and planning package approved September 29.</w:t>
      </w:r>
    </w:p>
    <w:p>
      <w:pPr>
        <w:widowControl/>
      </w:pPr>
      <w:r>
        <w:t>Coral Gables adopted a package of University of Miami campus measures on September 29. Municipal records confirm changes to development intensity, permissible uses and campus boundaries. Local reporting describes a 30-year agreement, a potential hospital of up to 100 beds, conveyance of 5.52 acres for Centennial Park, and annual payments beginning at $1.025 million with 4% annual increases. The reporting also clarifies that 17,500 students is a threshold triggering additional mitigation obligations, rather than evidence that enrollment has already reached that number. Permission for a hospital is not delivery of a hospital. [7, 8]</w:t>
      </w:r>
    </w:p>
    <w:p>
      <w:pPr>
        <w:pStyle w:val="Heading2"/>
      </w:pPr>
      <w:r>
        <w:t>KT implications</w:t>
      </w:r>
    </w:p>
    <w:p>
      <w:pPr>
        <w:widowControl/>
      </w:pPr>
      <w:r>
        <w:t>The agreement illustrates why the relationship between a university and its city is itself a development asset. An institution needs a workable horizon for investment. A municipality needs clarity about public benefits, growth pressures and the rules governing future decisions. Negotiating those matters together can establish a more coherent basis for individual projects.</w:t>
      </w:r>
    </w:p>
    <w:p>
      <w:pPr>
        <w:widowControl/>
      </w:pPr>
      <w:r>
        <w:t>For a Knowledge Town strategy, the practical task is to define what each side contributes and receives. That might include development capacity, housing, access, transport, public space and continuing service obligations. Benefits should have identifiable owners, milestones and reporting arrangements. An attractive master plan is much more useful when the institutions responsible for delivering it agree on those terms.</w:t>
      </w:r>
    </w:p>
    <w:p>
      <w:pPr>
        <w:pStyle w:val="Heading1"/>
      </w:pPr>
      <w:r>
        <w:t>5. Bentonville: build the institution and its neighborhood together</w:t>
      </w:r>
    </w:p>
    <w:p>
      <w:pPr>
        <w:keepNext/>
        <w:widowControl/>
      </w:pPr>
      <w:r>
        <w:t>Milestone: October 2 groundbreaking; first undergraduate class expected in August 2029.</w:t>
      </w:r>
    </w:p>
    <w:p>
      <w:pPr>
        <w:widowControl/>
      </w:pPr>
      <w:r>
        <w:t>The Bentonville Institute of Technology broke ground on the former Walmart Home Office site on October 2. The Northwest Arkansas Council’s October 5 account describes an initial campus of approximately 444,000 square feet, including academic space, student residences and a makerspace linked to parks and public spaces. Approximately 300 undergraduates are expected in the first class in August 2029, with tuition expected to be covered during the initial operating years. The proposed educational approach connects STEM with business, AI and applied work. [9, 10]</w:t>
      </w:r>
    </w:p>
    <w:p>
      <w:pPr>
        <w:pStyle w:val="Heading2"/>
      </w:pPr>
      <w:r>
        <w:t>KT implications</w:t>
      </w:r>
    </w:p>
    <w:p>
      <w:pPr>
        <w:widowControl/>
      </w:pPr>
      <w:r>
        <w:t>Bentonville reverses the usual order of the campus-and-city conversation. Instead of asking how an established institution can improve its surroundings, the project offers the opportunity to design academic activity and urban connections together from the beginning. Its makerspace, housing and public spaces could give different users reasons to meet and work near one another.</w:t>
      </w:r>
    </w:p>
    <w:p>
      <w:pPr>
        <w:widowControl/>
      </w:pPr>
      <w:r>
        <w:t>For places with large corporate or public sites becoming available, the relevant question is what mix of learning, enterprise and daily life could give the land a new productive role. A university is one possible anchor, but many regions could achieve useful results through a partnership among existing colleges, employers and civic institutions. The aim should be a capability that the region needs and can sustain.</w:t>
      </w:r>
    </w:p>
    <w:p>
      <w:pPr>
        <w:pStyle w:val="Heading1"/>
      </w:pPr>
      <w:r>
        <w:t>6. Tennessee: connect specialized locations into a working innovation network</w:t>
      </w:r>
    </w:p>
    <w:p>
      <w:pPr>
        <w:keepNext/>
        <w:widowControl/>
      </w:pPr>
      <w:r>
        <w:t>Milestone: October 1 update on the Peninsula Innovation District; substantial investment remains planned.</w:t>
      </w:r>
    </w:p>
    <w:p>
      <w:pPr>
        <w:widowControl/>
      </w:pPr>
      <w:r>
        <w:t>The University of Tennessee’s October 1 announcement describes the evolution of a 60-acre research park into a Peninsula Innovation District spanning more than 300 acres, with over $750 million in planned investment and development. Proposed additions include a Quantum Foundry and a BioSciences and Engineering Building targeted for 2030, medical education and research facilities, and a 150-room hotel and conference center. Cherokee Farm Development Corporation leads the district’s development. These are plans at different stages, not a completed $750 million investment. [11, 12]</w:t>
      </w:r>
    </w:p>
    <w:p>
      <w:pPr>
        <w:widowControl/>
      </w:pPr>
      <w:r>
        <w:t>An earlier May 29 university announcement supplies useful context: K-Quantum connects a proposed foundry at Cherokee Farm with a hybrid quantum and classical computing hub in the Maplehurst Innovation District. That is evidence of intended functional connections between locations, beyond a collection of sites carrying the same innovation label. [13]</w:t>
      </w:r>
    </w:p>
    <w:p>
      <w:pPr>
        <w:pStyle w:val="Heading2"/>
      </w:pPr>
      <w:r>
        <w:t>KT implications</w:t>
      </w:r>
    </w:p>
    <w:p>
      <w:pPr>
        <w:widowControl/>
      </w:pPr>
      <w:r>
        <w:t>The most useful regional network gives each location a clear job. One site may provide specialist research equipment; another may support startups, teaching or employer collaboration. Connecting them requires more than transport. Researchers and companies need straightforward access to facilities, understandable partnership terms, project support and people responsible for making introductions work.</w:t>
      </w:r>
    </w:p>
    <w:p>
      <w:pPr>
        <w:widowControl/>
      </w:pPr>
      <w:r>
        <w:t>This is relevant to regions with several universities, hospitals, colleges and industrial sites. Begin by mapping distinctive capabilities and unmet demand. Then design the shared programs and operating arrangements that turn separate assets into a useful network. Real estate should follow those relationships where possible.</w:t>
      </w:r>
    </w:p>
    <w:p>
      <w:pPr>
        <w:pStyle w:val="Heading1"/>
      </w:pPr>
      <w:r>
        <w:t>7. Manchester: long-term capital needs a deliverable operating model</w:t>
      </w:r>
    </w:p>
    <w:p>
      <w:pPr>
        <w:keepNext/>
        <w:widowControl/>
      </w:pPr>
      <w:r>
        <w:t>Milestone: financial close in summer 2026; September 30 update confirms construction.</w:t>
      </w:r>
    </w:p>
    <w:p>
      <w:pPr>
        <w:widowControl/>
      </w:pPr>
      <w:r>
        <w:t>The University of Manchester’s September 30 update confirms that its Fallowfield redevelopment is under construction following financial close in the summer. The £530 million program will deliver 3,300 student rooms through a 50-year partnership involving the university, Equitix, GRAHAM and Rothesay, with Rothesay providing majority funding. The university expects the first 1,000 rooms in 2028 and the remainder in phases through 2030. It describes low energy demand, planned net-zero carbon operations and university-led student services. Those performance claims remain delivery objectives until demonstrated in use. [14, 15]</w:t>
      </w:r>
    </w:p>
    <w:p>
      <w:pPr>
        <w:pStyle w:val="Heading2"/>
      </w:pPr>
      <w:r>
        <w:t>KT implications</w:t>
      </w:r>
    </w:p>
    <w:p>
      <w:pPr>
        <w:widowControl/>
      </w:pPr>
      <w:r>
        <w:t>Manchester shows the importance of making a social and educational asset intelligible to long-term capital. A compelling need for better student accommodation becomes actionable through a defined program, a delivery structure and an operating model. The financing milestone is more informative than a general announcement that private investors are interested.</w:t>
      </w:r>
    </w:p>
    <w:p>
      <w:pPr>
        <w:widowControl/>
      </w:pPr>
      <w:r>
        <w:t>For universities considering accommodation renewal, the strategic work is to connect demand, student affordability, service quality, energy performance and long-term maintenance. For the wider Knowledge Town agenda, a similar discipline is needed when packaging housing, innovation space and enabling infrastructure. Different uses may require different sources of capital and different contracts even when they serve one place strategy.</w:t>
      </w:r>
    </w:p>
    <w:p>
      <w:pPr>
        <w:pStyle w:val="Heading1"/>
        <w:widowControl/>
      </w:pPr>
      <w:r>
        <w:t>Seven opportunities for consideration</w:t>
      </w:r>
    </w:p>
    <w:p>
      <w:pPr>
        <w:widowControl/>
      </w:pPr>
      <w:r>
        <w:t>The common opportunity is to make universities more valuable to the places around them—and to make those places more valuable to universities. These seven propositions translate the cases into potential initiatives for university, civic, employer and investment leaders.</w:t>
      </w:r>
    </w:p>
    <w:p>
      <w:pPr>
        <w:pStyle w:val="Heading2"/>
        <w:widowControl/>
      </w:pPr>
      <w:r>
        <w:t>1. Turn campus renewal into a housing opportunity</w:t>
      </w:r>
    </w:p>
    <w:p>
      <w:pPr>
        <w:widowControl/>
      </w:pPr>
      <w:r>
        <w:t>Bring the university’s estate plan and the community’s housing needs into the same conversation. Underused buildings, parking areas or peripheral parcels could accommodate homes for staff, graduates, families and older residents while supporting renewal of the academic core. Start with one site where demand, access and institutional priorities align. Compare reuse, lease, partnership and sale, with a clear account of how the resulting value supports teaching, research or student life.</w:t>
      </w:r>
    </w:p>
    <w:p>
      <w:pPr>
        <w:pStyle w:val="Heading2"/>
        <w:widowControl/>
      </w:pPr>
      <w:r>
        <w:t>2. Build a neighborhood around an existing reason to visit</w:t>
      </w:r>
    </w:p>
    <w:p>
      <w:pPr>
        <w:widowControl/>
      </w:pPr>
      <w:r>
        <w:t>An arena, hospital, conference venue or cultural institution already draws people to a place. Explore how housing, hospitality, learning spaces, food and public activity could turn those visits into a richer daily economy. The opportunity is to extend the usefulness of an existing anchor throughout the week. Begin with the people already coming, identify what would make them stay longer or return more often, and shape the first development phase around that demand.</w:t>
      </w:r>
    </w:p>
    <w:p>
      <w:pPr>
        <w:pStyle w:val="Heading2"/>
        <w:widowControl/>
      </w:pPr>
      <w:r>
        <w:t>3. Invite a university capability into a growing region</w:t>
      </w:r>
    </w:p>
    <w:p>
      <w:pPr>
        <w:widowControl/>
      </w:pPr>
      <w:r>
        <w:t>A region need not wait for a complete new university to gain access to exceptional academic expertise. A graduate program, applied research center, executive education hub or shared laboratory could connect local employers with a university’s distinctive strength. Organize the proposition around a specific opportunity—such as advanced manufacturing, health or AI adoption—and bring employers, civic leaders and potential academic partners together around facilities, paid projects and a sustainable operating model.</w:t>
      </w:r>
    </w:p>
    <w:p>
      <w:pPr>
        <w:pStyle w:val="Heading2"/>
        <w:widowControl/>
      </w:pPr>
      <w:r>
        <w:t>4. Create a university-city growth compact</w:t>
      </w:r>
    </w:p>
    <w:p>
      <w:pPr>
        <w:widowControl/>
      </w:pPr>
      <w:r>
        <w:t>Replace a succession of disconnected project negotiations with a shared proposition for the next decade: where growth belongs, what public benefits it should create, and who will deliver them. Housing, transport, public space, institutional investment and local employment can be considered together. A useful starting point would be a jointly sponsored portfolio of three to five projects, with named responsibilities, agreed measures of success and a regular forum for resolving obstacles.</w:t>
      </w:r>
    </w:p>
    <w:p>
      <w:pPr>
        <w:pStyle w:val="Heading2"/>
        <w:widowControl/>
      </w:pPr>
      <w:r>
        <w:t>5. Make a former corporate campus a place for learning and enterprise</w:t>
      </w:r>
    </w:p>
    <w:p>
      <w:pPr>
        <w:widowControl/>
      </w:pPr>
      <w:r>
        <w:t>When a major employer relocates, its former site can become the foundation for a new chapter of regional growth. Explore a mix of technical education, maker facilities, business incubation, professional learning and housing connected to the surrounding neighborhood. Existing colleges and employers could provide the academic and commercial foundations. The first move could be a shared workshop or project studio that demonstrates demand and establishes activity before larger redevelopment proceeds.</w:t>
      </w:r>
    </w:p>
    <w:p>
      <w:pPr>
        <w:pStyle w:val="Heading2"/>
        <w:widowControl/>
      </w:pPr>
      <w:r>
        <w:t>6. Connect regional institutions through paid projects and shared facilities</w:t>
      </w:r>
    </w:p>
    <w:p>
      <w:pPr>
        <w:widowControl/>
      </w:pPr>
      <w:r>
        <w:t>A university, community college, hospital and research park may together offer capabilities that none can provide alone. Create a common route through which employers and community organizations can commission work, access expertise and involve learners in paid assignments. Give each location a distinctive role and make participation straightforward. A first cohort of projects could establish working relationships, reveal missing skills and identify which shared spaces or equipment deserve investment.</w:t>
      </w:r>
    </w:p>
    <w:p>
      <w:pPr>
        <w:pStyle w:val="Heading2"/>
        <w:widowControl/>
      </w:pPr>
      <w:r>
        <w:t>7. Assemble a pipeline that long-term capital can understand</w:t>
      </w:r>
    </w:p>
    <w:p>
      <w:pPr>
        <w:widowControl/>
      </w:pPr>
      <w:r>
        <w:t>Translate a broad Knowledge Town vision into a sequence of clearly defined projects: accommodation renewal, workforce housing, research space and enabling infrastructure. Each should identify users, revenues or committed support, delivery responsibility and long-term operating needs. A shared strategy can connect the projects while allowing different financing structures. The opportunity is to build a repeatable partnership around an institution or region, beginning with the project that has the clearest demand and strongest prospect of delivery.</w:t>
      </w:r>
    </w:p>
    <w:p>
      <w:pPr>
        <w:widowControl/>
      </w:pPr>
      <w:r>
        <w:t>Which of these opportunities could bring your institution, community and prospective partners together around a compelling first project?</w:t>
      </w:r>
    </w:p>
    <w:p>
      <w:pPr>
        <w:widowControl/>
      </w:pPr>
      <w:r>
        <w:t>Dominic Endicott | Knowledge Towns</w:t>
        <w:br/>
        <w:t>dominic@knowledgetowns.com</w:t>
      </w:r>
    </w:p>
    <w:p>
      <w:pPr>
        <w:pStyle w:val="Heading1"/>
        <w:pageBreakBefore/>
      </w:pPr>
      <w:r>
        <w:t>Sources and further reading</w:t>
      </w:r>
    </w:p>
    <w:p>
      <w:pPr>
        <w:widowControl/>
      </w:pPr>
      <w:r>
        <w:t>Sources accessed October 7, 2026. KT implications and opportunities are independent analysis. The Lowell procurement account is published by its development adviser; selected Coral Gables terms are attributed to local reporting alongside municipal records. Announced outcomes remain prospective unless explicitly described otherwise.</w:t>
      </w:r>
    </w:p>
    <w:p>
      <w:pPr>
        <w:widowControl/>
        <w:spacing w:after="180"/>
      </w:pPr>
      <w:r>
        <w:rPr>
          <w:sz w:val="20"/>
        </w:rPr>
        <w:t xml:space="preserve">[1] </w:t>
      </w:r>
      <w:hyperlink r:id="rId10">
        <w:r>
          <w:rPr>
            <w:color w:val="276C65"/>
          </w:rPr>
          <w:t>Brailsford &amp; Dunlavey, “RFQ for Mass uni mixed-use P3,” September 28, 2026 (reprint of September 25 reporting).</w:t>
        </w:r>
      </w:hyperlink>
    </w:p>
    <w:p>
      <w:pPr>
        <w:widowControl/>
        <w:spacing w:after="180"/>
      </w:pPr>
      <w:r>
        <w:rPr>
          <w:sz w:val="20"/>
        </w:rPr>
        <w:t xml:space="preserve">[2] </w:t>
      </w:r>
      <w:hyperlink r:id="rId11">
        <w:r>
          <w:rPr>
            <w:color w:val="276C65"/>
          </w:rPr>
          <w:t>UMass Building Authority, Solicitations. Check current procurement documents and addenda directly.</w:t>
        </w:r>
      </w:hyperlink>
    </w:p>
    <w:p>
      <w:pPr>
        <w:widowControl/>
        <w:spacing w:after="180"/>
      </w:pPr>
      <w:r>
        <w:rPr>
          <w:sz w:val="20"/>
        </w:rPr>
        <w:t xml:space="preserve">[3] </w:t>
      </w:r>
      <w:hyperlink r:id="rId12">
        <w:r>
          <w:rPr>
            <w:color w:val="276C65"/>
          </w:rPr>
          <w:t>Massachusetts, Salem State South Campus groundbreaking announcement, October 2, 2026.</w:t>
        </w:r>
      </w:hyperlink>
    </w:p>
    <w:p>
      <w:pPr>
        <w:widowControl/>
        <w:spacing w:after="180"/>
      </w:pPr>
      <w:r>
        <w:rPr>
          <w:sz w:val="20"/>
        </w:rPr>
        <w:t xml:space="preserve">[4] </w:t>
      </w:r>
      <w:hyperlink r:id="rId13">
        <w:r>
          <w:rPr>
            <w:color w:val="276C65"/>
          </w:rPr>
          <w:t>DCAMM, Salem State University’s South Campus Redevelopment.</w:t>
        </w:r>
      </w:hyperlink>
    </w:p>
    <w:p>
      <w:pPr>
        <w:widowControl/>
        <w:spacing w:after="180"/>
      </w:pPr>
      <w:r>
        <w:rPr>
          <w:sz w:val="20"/>
        </w:rPr>
        <w:t xml:space="preserve">[5] </w:t>
      </w:r>
      <w:hyperlink r:id="rId14">
        <w:r>
          <w:rPr>
            <w:color w:val="276C65"/>
          </w:rPr>
          <w:t>DCAMM, State Land for Homes—Home Development Underway.</w:t>
        </w:r>
      </w:hyperlink>
    </w:p>
    <w:p>
      <w:pPr>
        <w:widowControl/>
        <w:spacing w:after="180"/>
      </w:pPr>
      <w:r>
        <w:rPr>
          <w:sz w:val="20"/>
        </w:rPr>
        <w:t xml:space="preserve">[6] </w:t>
      </w:r>
      <w:hyperlink r:id="rId15">
        <w:r>
          <w:rPr>
            <w:color w:val="276C65"/>
          </w:rPr>
          <w:t>Carnegie Mellon University, “Announcing a Historic Investment in Carnegie Mellon,” September 30, 2026.</w:t>
        </w:r>
      </w:hyperlink>
    </w:p>
    <w:p>
      <w:pPr>
        <w:widowControl/>
        <w:spacing w:after="180"/>
      </w:pPr>
      <w:r>
        <w:rPr>
          <w:sz w:val="20"/>
        </w:rPr>
        <w:t xml:space="preserve">[7] </w:t>
      </w:r>
      <w:hyperlink r:id="rId16">
        <w:r>
          <w:rPr>
            <w:color w:val="276C65"/>
          </w:rPr>
          <w:t>City of Coral Gables, File 26-1864, adopted September 29, 2026; associated campus planning records.</w:t>
        </w:r>
      </w:hyperlink>
    </w:p>
    <w:p>
      <w:pPr>
        <w:widowControl/>
        <w:spacing w:after="180"/>
      </w:pPr>
      <w:r>
        <w:rPr>
          <w:sz w:val="20"/>
        </w:rPr>
        <w:t xml:space="preserve">[8] </w:t>
      </w:r>
      <w:hyperlink r:id="rId17">
        <w:r>
          <w:rPr>
            <w:color w:val="276C65"/>
          </w:rPr>
          <w:t>Coral Gables Gazette, “UM’s 30-year campus deal clears final vote,” October 1, 2026.</w:t>
        </w:r>
      </w:hyperlink>
    </w:p>
    <w:p>
      <w:pPr>
        <w:widowControl/>
        <w:spacing w:after="180"/>
      </w:pPr>
      <w:r>
        <w:rPr>
          <w:sz w:val="20"/>
        </w:rPr>
        <w:t xml:space="preserve">[9] </w:t>
      </w:r>
      <w:hyperlink r:id="rId18">
        <w:r>
          <w:rPr>
            <w:color w:val="276C65"/>
          </w:rPr>
          <w:t>Northwest Arkansas Council, Bentonville Institute of Technology update, October 5, 2026.</w:t>
        </w:r>
      </w:hyperlink>
    </w:p>
    <w:p>
      <w:pPr>
        <w:widowControl/>
        <w:spacing w:after="180"/>
      </w:pPr>
      <w:r>
        <w:rPr>
          <w:sz w:val="20"/>
        </w:rPr>
        <w:t xml:space="preserve">[10] </w:t>
      </w:r>
      <w:hyperlink r:id="rId19">
        <w:r>
          <w:rPr>
            <w:color w:val="276C65"/>
          </w:rPr>
          <w:t>Bentonville Institute of Technology, groundbreaking and name announcement, October 2, 2026.</w:t>
        </w:r>
      </w:hyperlink>
    </w:p>
    <w:p>
      <w:pPr>
        <w:widowControl/>
        <w:spacing w:after="180"/>
      </w:pPr>
      <w:r>
        <w:rPr>
          <w:sz w:val="20"/>
        </w:rPr>
        <w:t xml:space="preserve">[11] </w:t>
      </w:r>
      <w:hyperlink r:id="rId20">
        <w:r>
          <w:rPr>
            <w:color w:val="276C65"/>
          </w:rPr>
          <w:t>University of Tennessee, “UT’s Peninsula Innovation District Receives National Innovation Award,” October 1, 2026.</w:t>
        </w:r>
      </w:hyperlink>
    </w:p>
    <w:p>
      <w:pPr>
        <w:widowControl/>
        <w:spacing w:after="180"/>
      </w:pPr>
      <w:r>
        <w:rPr>
          <w:sz w:val="20"/>
        </w:rPr>
        <w:t xml:space="preserve">[12] </w:t>
      </w:r>
      <w:hyperlink r:id="rId21">
        <w:r>
          <w:rPr>
            <w:color w:val="276C65"/>
          </w:rPr>
          <w:t>UT Research Park, About the Peninsula Innovation District.</w:t>
        </w:r>
      </w:hyperlink>
    </w:p>
    <w:p>
      <w:pPr>
        <w:widowControl/>
        <w:spacing w:after="180"/>
      </w:pPr>
      <w:r>
        <w:rPr>
          <w:sz w:val="20"/>
        </w:rPr>
        <w:t xml:space="preserve">[13] </w:t>
      </w:r>
      <w:hyperlink r:id="rId22">
        <w:r>
          <w:rPr>
            <w:color w:val="276C65"/>
          </w:rPr>
          <w:t>University of Tennessee, “UT Launches Knoxville Quantum Accelerator,” May 29, 2026 (background).</w:t>
        </w:r>
      </w:hyperlink>
    </w:p>
    <w:p>
      <w:pPr>
        <w:widowControl/>
        <w:spacing w:after="180"/>
      </w:pPr>
      <w:r>
        <w:rPr>
          <w:sz w:val="20"/>
        </w:rPr>
        <w:t xml:space="preserve">[14] </w:t>
      </w:r>
      <w:hyperlink r:id="rId23">
        <w:r>
          <w:rPr>
            <w:color w:val="276C65"/>
          </w:rPr>
          <w:t>University of Manchester, “Fallowfield residences building work powers ahead,” September 30, 2026.</w:t>
        </w:r>
      </w:hyperlink>
    </w:p>
    <w:p>
      <w:pPr>
        <w:widowControl/>
        <w:spacing w:after="180"/>
      </w:pPr>
      <w:r>
        <w:rPr>
          <w:sz w:val="20"/>
        </w:rPr>
        <w:t xml:space="preserve">[15] </w:t>
      </w:r>
      <w:hyperlink r:id="rId24">
        <w:r>
          <w:rPr>
            <w:color w:val="276C65"/>
          </w:rPr>
          <w:t>Rothesay, £530 million University of Manchester partnership announcement, August 2026 (background).</w:t>
        </w:r>
      </w:hyperlink>
    </w:p>
    <w:sectPr w:rsidR="00FC693F" w:rsidRPr="0006063C" w:rsidSect="00034616">
      <w:footerReference w:type="default" r:id="rId9"/>
      <w:pgSz w:w="12240" w:h="15840"/>
      <w:pgMar w:top="1080" w:right="1224" w:bottom="1008" w:left="122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color w:val="60716C"/>
        <w:sz w:val="16"/>
      </w:rPr>
      <w:t xml:space="preserve">Knowledge Towns Advisory  |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60" w:line="259" w:lineRule="auto"/>
    </w:pPr>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140"/>
      <w:outlineLvl w:val="0"/>
    </w:pPr>
    <w:rPr>
      <w:rFonts w:asciiTheme="majorHAnsi" w:eastAsiaTheme="majorEastAsia" w:hAnsiTheme="majorHAnsi" w:cstheme="majorBidi" w:ascii="Calibri" w:hAnsi="Calibri"/>
      <w:b/>
      <w:bCs/>
      <w:color w:val="163D4A"/>
      <w:sz w:val="38"/>
      <w:szCs w:val="28"/>
    </w:rPr>
  </w:style>
  <w:style w:type="paragraph" w:styleId="Heading2">
    <w:name w:val="heading 2"/>
    <w:basedOn w:val="Normal"/>
    <w:next w:val="Normal"/>
    <w:link w:val="Heading2Char"/>
    <w:uiPriority w:val="9"/>
    <w:unhideWhenUsed/>
    <w:qFormat/>
    <w:rsid w:val="00FC693F"/>
    <w:pPr>
      <w:keepNext/>
      <w:keepLines/>
      <w:spacing w:before="280" w:after="140"/>
      <w:outlineLvl w:val="1"/>
    </w:pPr>
    <w:rPr>
      <w:rFonts w:asciiTheme="majorHAnsi" w:eastAsiaTheme="majorEastAsia" w:hAnsiTheme="majorHAnsi" w:cstheme="majorBidi" w:ascii="Calibri" w:hAnsi="Calibri"/>
      <w:b/>
      <w:bCs/>
      <w:color w:val="346A58"/>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140" w:line="240" w:lineRule="auto" w:before="280"/>
      <w:contextualSpacing/>
    </w:pPr>
    <w:rPr>
      <w:rFonts w:asciiTheme="majorHAnsi" w:eastAsiaTheme="majorEastAsia" w:hAnsiTheme="majorHAnsi" w:cstheme="majorBidi" w:ascii="Calibri" w:hAnsi="Calibri"/>
      <w:color w:val="163D4A"/>
      <w:spacing w:val="5"/>
      <w:kern w:val="28"/>
      <w:sz w:val="6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keepNext/>
      <w:numPr>
        <w:ilvl w:val="1"/>
      </w:numPr>
      <w:spacing w:before="280" w:after="140"/>
    </w:pPr>
    <w:rPr>
      <w:rFonts w:asciiTheme="majorHAnsi" w:eastAsiaTheme="majorEastAsia" w:hAnsiTheme="majorHAnsi" w:cstheme="majorBidi" w:ascii="Calibri" w:hAnsi="Calibri"/>
      <w:i/>
      <w:iCs/>
      <w:color w:val="44675E"/>
      <w:spacing w:val="15"/>
      <w:sz w:val="30"/>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programmanagers.com/from-p3-bulletin-rfq-for-mass-uni-mixed-use-p3/" TargetMode="External"/><Relationship Id="rId11" Type="http://schemas.openxmlformats.org/officeDocument/2006/relationships/hyperlink" Target="https://www.umassba.org/solicitations" TargetMode="External"/><Relationship Id="rId12" Type="http://schemas.openxmlformats.org/officeDocument/2006/relationships/hyperlink" Target="https://www.mass.gov/news/healey-driscoll-administration-celebrates-groundbreaking-for-nearly-500-new-homes-on-salem-state-south-campus" TargetMode="External"/><Relationship Id="rId13" Type="http://schemas.openxmlformats.org/officeDocument/2006/relationships/hyperlink" Target="https://www.mass.gov/info-details/salem-state-universitys-south-campus-redevelopment" TargetMode="External"/><Relationship Id="rId14" Type="http://schemas.openxmlformats.org/officeDocument/2006/relationships/hyperlink" Target="https://www.mass.gov/info-details/state-land-for-homes-home-development-underway" TargetMode="External"/><Relationship Id="rId15" Type="http://schemas.openxmlformats.org/officeDocument/2006/relationships/hyperlink" Target="https://www.cmu.edu/leadership/president/campus-comms/09-30-26" TargetMode="External"/><Relationship Id="rId16" Type="http://schemas.openxmlformats.org/officeDocument/2006/relationships/hyperlink" Target="https://coralgables.legistar.com/LegislationDetail.aspx?GUID=5FA97F59-B092-4A76-8716-2CF51A5C0CAC&amp;ID=8223943&amp;Options=&amp;Search=" TargetMode="External"/><Relationship Id="rId17" Type="http://schemas.openxmlformats.org/officeDocument/2006/relationships/hyperlink" Target="https://gables-gazette.com/ums-30-year-campus-deal-clears-final-vote-securing-park-and-future-hospital/" TargetMode="External"/><Relationship Id="rId18" Type="http://schemas.openxmlformats.org/officeDocument/2006/relationships/hyperlink" Target="https://nwacouncil.org/2026/10/05/bit-nwa/" TargetMode="External"/><Relationship Id="rId19" Type="http://schemas.openxmlformats.org/officeDocument/2006/relationships/hyperlink" Target="https://www.bentonvilleinstituteoftechnology.org/newsroom/bentonville-institute-groundbreaking" TargetMode="External"/><Relationship Id="rId20" Type="http://schemas.openxmlformats.org/officeDocument/2006/relationships/hyperlink" Target="https://news.utk.edu/2026/10/01/uts-peninsula-innovation-district-receives-national-innovation-award/" TargetMode="External"/><Relationship Id="rId21" Type="http://schemas.openxmlformats.org/officeDocument/2006/relationships/hyperlink" Target="https://www.tnresearchpark.org/about/" TargetMode="External"/><Relationship Id="rId22" Type="http://schemas.openxmlformats.org/officeDocument/2006/relationships/hyperlink" Target="https://news.utk.edu/2026/05/29/ut-launches-knoxville-quantum-accelerator-to-advance-tennessees-future/" TargetMode="External"/><Relationship Id="rId23" Type="http://schemas.openxmlformats.org/officeDocument/2006/relationships/hyperlink" Target="https://www.staffnet.manchester.ac.uk/news/display/?id=34362" TargetMode="External"/><Relationship Id="rId24" Type="http://schemas.openxmlformats.org/officeDocument/2006/relationships/hyperlink" Target="https://www.rothesay.com/news/newsroom/rothesay-equitix-and-graham-partner-with-the-university-of-manchester-to-deliver-530m-investment-in-student-livin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Knowledge Towns Advisory Brief | October 7, 2026</dc:title>
  <dc:subject>Universities as regional development platforms</dc:subject>
  <dc:creator>Dominic Endicott | Knowledge Towns</dc:creator>
  <cp:keywords/>
  <dc:description>generated by python-docx</dc:description>
  <cp:lastModifiedBy/>
  <cp:revision>1</cp:revision>
  <dcterms:created xsi:type="dcterms:W3CDTF">2013-12-23T23:15:00Z</dcterms:created>
  <dcterms:modified xsi:type="dcterms:W3CDTF">2013-12-23T23:15:00Z</dcterms:modified>
  <cp:category/>
</cp:coreProperties>
</file>